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1968DD04" w:rsidR="00D07C27" w:rsidRPr="00D57B30" w:rsidRDefault="00BE3286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21 del orden del día: Grupo de Trabajo del GAC sobre la Participación en el Comité de Nominaciones (</w:t>
      </w:r>
      <w:proofErr w:type="spellStart"/>
      <w:r>
        <w:rPr>
          <w:color w:val="1F4E79" w:themeColor="accent1" w:themeShade="80"/>
        </w:rPr>
        <w:t>NomCom</w:t>
      </w:r>
      <w:proofErr w:type="spellEnd"/>
      <w:r>
        <w:rPr>
          <w:color w:val="1F4E79" w:themeColor="accent1" w:themeShade="80"/>
        </w:rPr>
        <w:t>) de la ICANN – Actualización al GAC</w:t>
      </w:r>
    </w:p>
    <w:p w14:paraId="4C084511" w14:textId="4AB0FE37" w:rsidR="00F21D6A" w:rsidRDefault="00A035DD" w:rsidP="00E15459">
      <w:pPr>
        <w:pStyle w:val="Ttulo2"/>
      </w:pPr>
      <w:r>
        <w:t>Cuestión</w:t>
      </w:r>
    </w:p>
    <w:p w14:paraId="46BB2F0D" w14:textId="25FB2DBD" w:rsidR="00EE2665" w:rsidRDefault="00E236BC" w:rsidP="00A035DD">
      <w:pPr>
        <w:pStyle w:val="Textoindependiente"/>
        <w:ind w:right="545"/>
      </w:pPr>
      <w:r>
        <w:t xml:space="preserve">Posibles criterios centrados en la política pública para que el </w:t>
      </w:r>
      <w:proofErr w:type="spellStart"/>
      <w:r>
        <w:t>NomCom</w:t>
      </w:r>
      <w:proofErr w:type="spellEnd"/>
      <w:r>
        <w:t xml:space="preserve"> los utilice en la selección de miembros para la Junta Directiva de la ICANN.</w:t>
      </w:r>
    </w:p>
    <w:p w14:paraId="3D945637" w14:textId="1A21AF86" w:rsidR="00EE2665" w:rsidRDefault="00E236BC" w:rsidP="00E15459">
      <w:pPr>
        <w:pStyle w:val="Ttulo2"/>
      </w:pPr>
      <w:r>
        <w:t>Acción requerida por parte del GAC</w:t>
      </w:r>
    </w:p>
    <w:p w14:paraId="78A85D8A" w14:textId="4492360E" w:rsidR="00EE2665" w:rsidRDefault="00A035DD" w:rsidP="00EE2665">
      <w:pPr>
        <w:pStyle w:val="Textoindependiente"/>
        <w:ind w:right="545"/>
      </w:pPr>
      <w:r>
        <w:t xml:space="preserve">La presidente del Grupo de Trabajo (Olga </w:t>
      </w:r>
      <w:proofErr w:type="spellStart"/>
      <w:r>
        <w:t>Cavalli</w:t>
      </w:r>
      <w:proofErr w:type="spellEnd"/>
      <w:r>
        <w:t xml:space="preserve">, Argentina) ha distribuido al GAC para comentario y revisión el último borrador de criterios sugeridos centrados en la política pública para que el </w:t>
      </w:r>
      <w:proofErr w:type="spellStart"/>
      <w:r>
        <w:t>NomCom</w:t>
      </w:r>
      <w:proofErr w:type="spellEnd"/>
      <w:r>
        <w:t xml:space="preserve"> los utilice en la selección de miembros de la Junta de la ICANN, Se adjunta el documento borrador.</w:t>
      </w:r>
    </w:p>
    <w:p w14:paraId="6F93F1D6" w14:textId="206D8812" w:rsidR="00EE2665" w:rsidRDefault="00E236BC" w:rsidP="00E15459">
      <w:pPr>
        <w:pStyle w:val="Ttulo2"/>
      </w:pPr>
      <w:r>
        <w:t>Posición actual</w:t>
      </w:r>
    </w:p>
    <w:p w14:paraId="129C0726" w14:textId="353C8BA0" w:rsidR="00F2150E" w:rsidRDefault="00E236BC" w:rsidP="00F2150E">
      <w:pPr>
        <w:pStyle w:val="Textoindependiente"/>
        <w:spacing w:afterLines="200" w:after="480"/>
        <w:rPr>
          <w:szCs w:val="20"/>
        </w:rPr>
      </w:pPr>
      <w:r>
        <w:t xml:space="preserve">Este Grupo de Trabajo fue creado en el año 2014 y está presidido por Argentina (Olga </w:t>
      </w:r>
      <w:proofErr w:type="spellStart"/>
      <w:r>
        <w:t>Cavalli</w:t>
      </w:r>
      <w:proofErr w:type="spellEnd"/>
      <w:r>
        <w:t>).</w:t>
      </w:r>
    </w:p>
    <w:p w14:paraId="3A594409" w14:textId="5AEA626D" w:rsidR="00F2150E" w:rsidRDefault="00A035DD" w:rsidP="00F2150E">
      <w:pPr>
        <w:pStyle w:val="Textoindependiente"/>
        <w:spacing w:afterLines="200" w:after="480"/>
        <w:rPr>
          <w:color w:val="333333"/>
          <w:szCs w:val="20"/>
          <w:shd w:val="clear" w:color="auto" w:fill="FFFFFF"/>
        </w:rPr>
      </w:pPr>
      <w:r>
        <w:t>El Comité de Nominaciones (</w:t>
      </w:r>
      <w:proofErr w:type="spellStart"/>
      <w:r>
        <w:t>NomCom</w:t>
      </w:r>
      <w:proofErr w:type="spellEnd"/>
      <w:r>
        <w:t xml:space="preserve">) de la ICANN </w:t>
      </w:r>
      <w:r>
        <w:rPr>
          <w:color w:val="333333"/>
          <w:szCs w:val="20"/>
          <w:shd w:val="clear" w:color="auto" w:fill="FFFFFF"/>
        </w:rPr>
        <w:t>es un comité independiente encargado de identificar y seleccionar personas para ocupar puestos de liderazgo dentro de la ICANN. En los Estatutos de la </w:t>
      </w:r>
      <w:r>
        <w:t>ICANN</w:t>
      </w:r>
      <w:r>
        <w:rPr>
          <w:color w:val="333333"/>
          <w:szCs w:val="20"/>
          <w:shd w:val="clear" w:color="auto" w:fill="FFFFFF"/>
        </w:rPr>
        <w:t xml:space="preserve"> se establece que el </w:t>
      </w:r>
      <w:proofErr w:type="spellStart"/>
      <w:r>
        <w:rPr>
          <w:color w:val="333333"/>
          <w:szCs w:val="20"/>
          <w:shd w:val="clear" w:color="auto" w:fill="FFFFFF"/>
        </w:rPr>
        <w:t>NomCom</w:t>
      </w:r>
      <w:proofErr w:type="spellEnd"/>
      <w:r>
        <w:rPr>
          <w:color w:val="333333"/>
          <w:szCs w:val="20"/>
          <w:shd w:val="clear" w:color="auto" w:fill="FFFFFF"/>
        </w:rPr>
        <w:t xml:space="preserve"> designe a una serie de personas para ocupar cargos en la Junta Directiva (Junta) de la </w:t>
      </w:r>
      <w:r>
        <w:t>ICANN</w:t>
      </w:r>
      <w:r>
        <w:rPr>
          <w:color w:val="333333"/>
          <w:szCs w:val="20"/>
          <w:shd w:val="clear" w:color="auto" w:fill="FFFFFF"/>
        </w:rPr>
        <w:t>, el Consejo de la</w:t>
      </w:r>
      <w:r w:rsidR="008317A4">
        <w:rPr>
          <w:color w:val="333333"/>
          <w:szCs w:val="20"/>
          <w:shd w:val="clear" w:color="auto" w:fill="FFFFFF"/>
        </w:rPr>
        <w:t xml:space="preserve"> </w:t>
      </w:r>
      <w:r>
        <w:t>Organización de Apoyo para Nombres Genéricos</w:t>
      </w:r>
      <w:r>
        <w:rPr>
          <w:color w:val="333333"/>
          <w:szCs w:val="20"/>
          <w:shd w:val="clear" w:color="auto" w:fill="FFFFFF"/>
        </w:rPr>
        <w:t> (</w:t>
      </w:r>
      <w:r>
        <w:t>GNSO</w:t>
      </w:r>
      <w:r>
        <w:rPr>
          <w:color w:val="333333"/>
          <w:szCs w:val="20"/>
          <w:shd w:val="clear" w:color="auto" w:fill="FFFFFF"/>
        </w:rPr>
        <w:t>), el Consejo de la </w:t>
      </w:r>
      <w:r>
        <w:t>Organización de Apoyo para Nombres de Dominio con Código de País</w:t>
      </w:r>
      <w:r>
        <w:rPr>
          <w:color w:val="333333"/>
          <w:szCs w:val="20"/>
          <w:shd w:val="clear" w:color="auto" w:fill="FFFFFF"/>
        </w:rPr>
        <w:t> (</w:t>
      </w:r>
      <w:r>
        <w:t>ccNSO</w:t>
      </w:r>
      <w:r>
        <w:rPr>
          <w:color w:val="333333"/>
          <w:szCs w:val="20"/>
          <w:shd w:val="clear" w:color="auto" w:fill="FFFFFF"/>
        </w:rPr>
        <w:t>) y el</w:t>
      </w:r>
      <w:r w:rsidR="008317A4">
        <w:rPr>
          <w:color w:val="333333"/>
          <w:szCs w:val="20"/>
          <w:shd w:val="clear" w:color="auto" w:fill="FFFFFF"/>
        </w:rPr>
        <w:t xml:space="preserve"> </w:t>
      </w:r>
      <w:r>
        <w:t>Comité Asesor At-Large</w:t>
      </w:r>
      <w:r>
        <w:rPr>
          <w:color w:val="333333"/>
          <w:szCs w:val="20"/>
          <w:shd w:val="clear" w:color="auto" w:fill="FFFFFF"/>
        </w:rPr>
        <w:t> (</w:t>
      </w:r>
      <w:r>
        <w:t>ALAC</w:t>
      </w:r>
      <w:r>
        <w:rPr>
          <w:color w:val="333333"/>
          <w:szCs w:val="20"/>
          <w:shd w:val="clear" w:color="auto" w:fill="FFFFFF"/>
        </w:rPr>
        <w:t>).</w:t>
      </w:r>
    </w:p>
    <w:p w14:paraId="3C0930B1" w14:textId="7DBCD2D9" w:rsidR="00A035DD" w:rsidRPr="00F2150E" w:rsidRDefault="00A035DD" w:rsidP="00F2150E">
      <w:pPr>
        <w:pStyle w:val="Textoindependiente"/>
        <w:spacing w:afterLines="200" w:after="480"/>
        <w:rPr>
          <w:szCs w:val="20"/>
        </w:rPr>
      </w:pPr>
      <w:r>
        <w:rPr>
          <w:color w:val="333333"/>
          <w:szCs w:val="20"/>
          <w:shd w:val="clear" w:color="auto" w:fill="FFFFFF"/>
        </w:rPr>
        <w:t xml:space="preserve">El GAC tiene un puesto en el </w:t>
      </w:r>
      <w:proofErr w:type="spellStart"/>
      <w:r>
        <w:rPr>
          <w:color w:val="333333"/>
          <w:szCs w:val="20"/>
          <w:shd w:val="clear" w:color="auto" w:fill="FFFFFF"/>
        </w:rPr>
        <w:t>NomCom</w:t>
      </w:r>
      <w:proofErr w:type="spellEnd"/>
      <w:r>
        <w:rPr>
          <w:color w:val="333333"/>
          <w:szCs w:val="20"/>
          <w:shd w:val="clear" w:color="auto" w:fill="FFFFFF"/>
        </w:rPr>
        <w:t>. Sin embargo, hace algunos años que el mismo está vacante debido a la falta de acuerdo dentro del GAC sobre el rol adecuado para dicho puesto.</w:t>
      </w:r>
    </w:p>
    <w:p w14:paraId="4644F84B" w14:textId="7C8E4075" w:rsidR="00302AA4" w:rsidRDefault="00302AA4" w:rsidP="00302AA4">
      <w:pPr>
        <w:pStyle w:val="Ttulo2"/>
      </w:pPr>
      <w:bookmarkStart w:id="0" w:name="_Hlk484433727"/>
      <w:r>
        <w:t>Información adicional</w:t>
      </w:r>
    </w:p>
    <w:p w14:paraId="784BBFC9" w14:textId="01E5BDB4" w:rsidR="00302AA4" w:rsidRDefault="002B77F7" w:rsidP="00302AA4">
      <w:pPr>
        <w:pStyle w:val="Textoindependiente"/>
      </w:pPr>
      <w:r>
        <w:t xml:space="preserve">Sitio web del Grupo de Trabajo del GAC: </w:t>
      </w:r>
      <w:hyperlink r:id="rId9" w:history="1">
        <w:r>
          <w:rPr>
            <w:rStyle w:val="Hipervnculo"/>
          </w:rPr>
          <w:t>https://gac.icann.org/working-group/gac-working-group-on-gac-participation-in-nomcom</w:t>
        </w:r>
      </w:hyperlink>
      <w:r>
        <w:t xml:space="preserve"> </w:t>
      </w:r>
    </w:p>
    <w:p w14:paraId="15E8714D" w14:textId="55C91B5C" w:rsidR="00302AA4" w:rsidRDefault="00302AA4" w:rsidP="00302AA4">
      <w:pPr>
        <w:pStyle w:val="Textoindependiente"/>
      </w:pPr>
      <w:proofErr w:type="spellStart"/>
      <w:r>
        <w:t>NomCom</w:t>
      </w:r>
      <w:proofErr w:type="spellEnd"/>
      <w:r>
        <w:t xml:space="preserve"> de la ICANN: </w:t>
      </w:r>
      <w:hyperlink r:id="rId10" w:history="1">
        <w:r>
          <w:rPr>
            <w:rStyle w:val="Hipervnculo"/>
          </w:rPr>
          <w:t>https://www.icann.org/nomcom2018</w:t>
        </w:r>
      </w:hyperlink>
      <w:r>
        <w:t xml:space="preserve"> </w:t>
      </w:r>
    </w:p>
    <w:p w14:paraId="74D05681" w14:textId="4DEC4F25" w:rsidR="0020769E" w:rsidRPr="00302AA4" w:rsidRDefault="0020769E" w:rsidP="00302AA4">
      <w:pPr>
        <w:pStyle w:val="Textoindependiente"/>
      </w:pPr>
      <w:r>
        <w:t xml:space="preserve">Revisión organizacional del </w:t>
      </w:r>
      <w:proofErr w:type="spellStart"/>
      <w:r>
        <w:t>NomCom</w:t>
      </w:r>
      <w:proofErr w:type="spellEnd"/>
      <w:r>
        <w:t xml:space="preserve">: </w:t>
      </w:r>
      <w:hyperlink r:id="rId11" w:history="1">
        <w:r>
          <w:rPr>
            <w:rStyle w:val="Hipervnculo"/>
          </w:rPr>
          <w:t>https://community.icann.org/display/OR</w:t>
        </w:r>
      </w:hyperlink>
      <w:r>
        <w:t xml:space="preserve"> </w:t>
      </w:r>
    </w:p>
    <w:p w14:paraId="1D48DB79" w14:textId="5634339B" w:rsidR="00E15459" w:rsidRDefault="00E15459" w:rsidP="00E15459">
      <w:pPr>
        <w:pStyle w:val="Ttulo2"/>
      </w:pPr>
    </w:p>
    <w:p w14:paraId="0A190E78" w14:textId="636B0FC5" w:rsidR="00E15459" w:rsidRDefault="00E15459" w:rsidP="00E15459">
      <w:pPr>
        <w:pStyle w:val="Ttulo2"/>
      </w:pPr>
      <w:bookmarkStart w:id="1" w:name="_GoBack"/>
      <w:bookmarkEnd w:id="1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617EDD3A" w14:textId="7B028CC2" w:rsidR="00E15459" w:rsidRPr="00EA3A02" w:rsidRDefault="00E236B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Grupo de trabajo del GAC sobre la participación en el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NomCom</w:t>
            </w:r>
            <w:proofErr w:type="spellEnd"/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6B70A6D6" w14:textId="662F6AF6" w:rsidR="00E15459" w:rsidRPr="003F43E3" w:rsidRDefault="00A035DD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de junio de 2018</w:t>
            </w:r>
          </w:p>
        </w:tc>
      </w:tr>
      <w:bookmarkEnd w:id="0"/>
    </w:tbl>
    <w:p w14:paraId="33DD9A1F" w14:textId="40C6E7B0" w:rsidR="005B7B51" w:rsidRDefault="005B7B51" w:rsidP="00E15459">
      <w:pPr>
        <w:pStyle w:val="Textoindependiente"/>
        <w:ind w:right="545"/>
      </w:pPr>
    </w:p>
    <w:p w14:paraId="44CB88B8" w14:textId="4F48D6EE" w:rsidR="00A035DD" w:rsidRDefault="00A035DD" w:rsidP="00E15459">
      <w:pPr>
        <w:pStyle w:val="Textoindependiente"/>
        <w:ind w:right="545"/>
      </w:pPr>
    </w:p>
    <w:p w14:paraId="386A4B5E" w14:textId="60DA25FF" w:rsidR="00A035DD" w:rsidRDefault="00A035DD" w:rsidP="00E15459">
      <w:pPr>
        <w:pStyle w:val="Textoindependiente"/>
        <w:ind w:right="545"/>
      </w:pPr>
    </w:p>
    <w:p w14:paraId="0EE1C984" w14:textId="2A1DA535" w:rsidR="00A035DD" w:rsidRDefault="00F2150E" w:rsidP="00A035DD">
      <w:pPr>
        <w:pStyle w:val="Ttulo2"/>
      </w:pPr>
      <w:r>
        <w:t xml:space="preserve">ANEXO: Documento entregado al GAC por Olga </w:t>
      </w:r>
      <w:proofErr w:type="spellStart"/>
      <w:r>
        <w:t>Cavalli</w:t>
      </w:r>
      <w:proofErr w:type="spellEnd"/>
      <w:r>
        <w:t xml:space="preserve"> el 4 de junio de 2018</w:t>
      </w:r>
    </w:p>
    <w:p w14:paraId="7EE1E473" w14:textId="7E4742FC" w:rsidR="00A035DD" w:rsidRPr="00642DE4" w:rsidRDefault="00A035DD" w:rsidP="00A035DD">
      <w:pPr>
        <w:pStyle w:val="Ttulo2"/>
      </w:pPr>
      <w:r>
        <w:t xml:space="preserve">Criterios para que el GAC se presente al </w:t>
      </w:r>
      <w:proofErr w:type="spellStart"/>
      <w:r>
        <w:t>NomCom</w:t>
      </w:r>
      <w:proofErr w:type="spellEnd"/>
    </w:p>
    <w:p w14:paraId="3B061C91" w14:textId="77777777" w:rsidR="00A035DD" w:rsidRPr="00642DE4" w:rsidRDefault="00A035DD" w:rsidP="00A035DD">
      <w:pPr>
        <w:pStyle w:val="Ttulo2"/>
      </w:pPr>
      <w:r>
        <w:t>V8 – marzo de 2018</w:t>
      </w:r>
    </w:p>
    <w:p w14:paraId="7482CC3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El GAC tiene la visión de que la Junta de la ICANN debería incluir, colectivamente entre sus miembros, miembros que tengan los siguientes atributos y cualificaciones:</w:t>
      </w:r>
    </w:p>
    <w:p w14:paraId="58E0C57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4203AF9C" w14:textId="77777777" w:rsidR="00A035DD" w:rsidRPr="00534CB8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Las cualidades personales y experiencia identificadas por la Junta de la ICANN en su asesoramiento al </w:t>
      </w:r>
      <w:proofErr w:type="spellStart"/>
      <w:r>
        <w:rPr>
          <w:rFonts w:ascii="Arial" w:hAnsi="Arial"/>
          <w:b/>
          <w:bCs/>
          <w:sz w:val="22"/>
          <w:szCs w:val="22"/>
        </w:rPr>
        <w:t>NomCom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marzo de 2017</w:t>
      </w:r>
      <w:r w:rsidRPr="00534CB8">
        <w:rPr>
          <w:rFonts w:eastAsia="Calibri"/>
        </w:rPr>
        <w:footnoteReference w:id="1"/>
      </w:r>
      <w:r>
        <w:rPr>
          <w:rFonts w:ascii="Arial" w:hAnsi="Arial"/>
          <w:b/>
          <w:bCs/>
          <w:sz w:val="22"/>
          <w:szCs w:val="22"/>
        </w:rPr>
        <w:t>.</w:t>
      </w:r>
    </w:p>
    <w:p w14:paraId="2274BD8E" w14:textId="77777777" w:rsidR="00A035DD" w:rsidRDefault="00A035DD" w:rsidP="00A035DD">
      <w:pPr>
        <w:pStyle w:val="Prrafodelista"/>
        <w:tabs>
          <w:tab w:val="left" w:pos="9356"/>
        </w:tabs>
        <w:spacing w:after="0" w:line="240" w:lineRule="auto"/>
        <w:rPr>
          <w:rFonts w:ascii="Arial" w:hAnsi="Arial" w:cs="Arial"/>
          <w:sz w:val="22"/>
          <w:u w:val="single"/>
        </w:rPr>
      </w:pPr>
    </w:p>
    <w:p w14:paraId="7398A7CE" w14:textId="77777777" w:rsidR="00A035DD" w:rsidRDefault="00A035DD" w:rsidP="00A035DD">
      <w:pPr>
        <w:pStyle w:val="Prrafodelista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/>
          <w:sz w:val="22"/>
          <w:u w:val="single"/>
        </w:rPr>
        <w:t>FUNDAMENTO</w:t>
      </w:r>
      <w:r>
        <w:rPr>
          <w:rFonts w:ascii="Arial" w:hAnsi="Arial"/>
          <w:sz w:val="22"/>
        </w:rPr>
        <w:t>: Es una cuestión de buena política pública que la ICANN funcione de manera eficiente y eficaz. Los criterios identificados por la Junta parecen ser un conjunto razonable de requisitos operativos para este propósito.</w:t>
      </w:r>
    </w:p>
    <w:p w14:paraId="426A8505" w14:textId="77777777" w:rsidR="00A035DD" w:rsidRPr="00152D27" w:rsidRDefault="00A035DD" w:rsidP="00A035DD">
      <w:pPr>
        <w:pStyle w:val="Prrafodelista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</w:p>
    <w:p w14:paraId="0B7DDBF9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766C9A0C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Experiencia de trabajo con o en el sector público, incluyendo el gobierno nacional o local, autoridades públicas u organismos intergubernamentales.</w:t>
      </w:r>
    </w:p>
    <w:p w14:paraId="3F5EC036" w14:textId="77777777" w:rsidR="00A035DD" w:rsidRPr="00152D27" w:rsidRDefault="00A035DD" w:rsidP="00A035DD">
      <w:pPr>
        <w:pStyle w:val="Prrafodelista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.</w:t>
      </w:r>
    </w:p>
    <w:p w14:paraId="3100A937" w14:textId="77777777" w:rsidR="00A035DD" w:rsidRPr="00152D27" w:rsidRDefault="00A035DD" w:rsidP="00A035DD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FUNDAMENTO</w:t>
      </w:r>
      <w:r>
        <w:rPr>
          <w:rFonts w:ascii="Arial" w:hAnsi="Arial"/>
          <w:sz w:val="22"/>
          <w:szCs w:val="22"/>
        </w:rPr>
        <w:t>: La experiencia en trabajar o interactuar con gobiernos o autoridades públicas contribuiría a un buen entendimiento de los aportes de la Junta del GAC que representan la perspectiva de los gobiernos y organismos intergubernamentales afectados/interesados.</w:t>
      </w:r>
    </w:p>
    <w:p w14:paraId="01687568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1F6CC2C4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Una comprensión y apreciación de anticipar el interés público mediante la creación de asociaciones y consenso </w:t>
      </w:r>
    </w:p>
    <w:p w14:paraId="2A78A495" w14:textId="77777777" w:rsidR="00A035DD" w:rsidRPr="00152D27" w:rsidRDefault="00A035DD" w:rsidP="00A035DD">
      <w:pPr>
        <w:pStyle w:val="Prrafodelista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.</w:t>
      </w:r>
    </w:p>
    <w:p w14:paraId="714EC320" w14:textId="77777777" w:rsidR="00A035DD" w:rsidRPr="00534CB8" w:rsidRDefault="00A035DD" w:rsidP="00A035DD">
      <w:pPr>
        <w:pStyle w:val="Prrafodelista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/>
          <w:sz w:val="22"/>
          <w:u w:val="single"/>
        </w:rPr>
        <w:t>FUNDAMENTO</w:t>
      </w:r>
      <w:r>
        <w:rPr>
          <w:rFonts w:ascii="Arial" w:hAnsi="Arial"/>
          <w:sz w:val="22"/>
        </w:rPr>
        <w:t>: La comprensión y apreciación de asociaciones públicas-privadas o los procesos de múltiples partes interesadas con historial en desarrollar un enfoque de consulta pueden facilitar la resolución constructiva de asuntos.</w:t>
      </w:r>
    </w:p>
    <w:p w14:paraId="75A0A6C2" w14:textId="77777777" w:rsidR="00A035DD" w:rsidRDefault="00A035DD" w:rsidP="00A035DD">
      <w:pPr>
        <w:pStyle w:val="Prrafodelista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</w:p>
    <w:p w14:paraId="2F2A59F0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06C9109A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Experiencia en el escenario multicultural y comprensión del valor y la importancia de la diversidad de la ICANN como coordinador global del Sistema de Nombres de Dominio </w:t>
      </w:r>
    </w:p>
    <w:p w14:paraId="6A8E9133" w14:textId="77777777" w:rsidR="00A035DD" w:rsidRPr="00152D27" w:rsidRDefault="00A035DD" w:rsidP="00A035DD">
      <w:pPr>
        <w:pStyle w:val="Prrafodelista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.</w:t>
      </w:r>
    </w:p>
    <w:p w14:paraId="7A6546A3" w14:textId="77777777" w:rsidR="00A035DD" w:rsidRPr="00152D27" w:rsidRDefault="00A035DD" w:rsidP="00A035DD">
      <w:pPr>
        <w:pStyle w:val="Prrafodelista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/>
          <w:sz w:val="22"/>
          <w:u w:val="single"/>
        </w:rPr>
        <w:t>FUNDAMENTO</w:t>
      </w:r>
      <w:r>
        <w:rPr>
          <w:rFonts w:ascii="Arial" w:hAnsi="Arial"/>
          <w:sz w:val="22"/>
        </w:rPr>
        <w:t xml:space="preserve">: La búsqueda de diversidad es un objetivo legítimo en materia de política pública, en particular, cuando se trata de una organización global que lucha por ser inclusiva. </w:t>
      </w:r>
    </w:p>
    <w:p w14:paraId="1A53D7C0" w14:textId="77777777" w:rsidR="00A035DD" w:rsidRPr="00152D27" w:rsidRDefault="00A035DD" w:rsidP="00A035DD">
      <w:pPr>
        <w:pStyle w:val="Textoindependiente"/>
        <w:tabs>
          <w:tab w:val="left" w:pos="9356"/>
        </w:tabs>
        <w:ind w:right="261"/>
        <w:rPr>
          <w:rFonts w:ascii="Arial" w:hAnsi="Arial" w:cs="Arial"/>
          <w:sz w:val="22"/>
        </w:rPr>
      </w:pPr>
    </w:p>
    <w:p w14:paraId="1D889008" w14:textId="77777777" w:rsidR="00A035DD" w:rsidRDefault="00A035DD" w:rsidP="00A035DD">
      <w:pPr>
        <w:rPr>
          <w:rFonts w:cs="Arial"/>
        </w:rPr>
      </w:pPr>
    </w:p>
    <w:p w14:paraId="39E73636" w14:textId="77777777" w:rsidR="00A035DD" w:rsidRDefault="00A035DD" w:rsidP="00E15459">
      <w:pPr>
        <w:pStyle w:val="Textoindependiente"/>
        <w:ind w:right="545"/>
      </w:pPr>
    </w:p>
    <w:sectPr w:rsidR="00A035DD" w:rsidSect="007A174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45A3" w14:textId="77777777" w:rsidR="00293F41" w:rsidRDefault="00293F41" w:rsidP="00A24449">
      <w:r>
        <w:separator/>
      </w:r>
    </w:p>
  </w:endnote>
  <w:endnote w:type="continuationSeparator" w:id="0">
    <w:p w14:paraId="6B93AAB8" w14:textId="77777777" w:rsidR="00293F41" w:rsidRDefault="00293F41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776376" w:rsidRDefault="00776376" w:rsidP="002276FD">
    <w:pPr>
      <w:pStyle w:val="Piedepgina"/>
      <w:ind w:left="-567" w:right="261"/>
    </w:pPr>
  </w:p>
  <w:p w14:paraId="1F6A8333" w14:textId="1ADE58B7" w:rsidR="00776376" w:rsidRPr="00B026C8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317A4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317A4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8317A4" w:rsidRDefault="00776376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8317A4">
      <w:rPr>
        <w:sz w:val="16"/>
        <w:szCs w:val="16"/>
        <w:lang w:val="en-US"/>
      </w:rPr>
      <w:t xml:space="preserve">203 Drummond Street, Carlton VIC 3053 </w:t>
    </w:r>
  </w:p>
  <w:p w14:paraId="43F9FA24" w14:textId="77777777" w:rsidR="00776376" w:rsidRPr="008317A4" w:rsidRDefault="00776376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8317A4">
      <w:rPr>
        <w:sz w:val="16"/>
        <w:szCs w:val="16"/>
        <w:lang w:val="en-US"/>
      </w:rPr>
      <w:t>03 9650 7222</w:t>
    </w:r>
  </w:p>
  <w:p w14:paraId="67FE17A9" w14:textId="77777777" w:rsidR="00776376" w:rsidRPr="008317A4" w:rsidRDefault="00776376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8317A4">
      <w:rPr>
        <w:sz w:val="16"/>
        <w:szCs w:val="16"/>
        <w:lang w:val="en-US"/>
      </w:rPr>
      <w:t xml:space="preserve">www.acig.com.au </w:t>
    </w:r>
  </w:p>
  <w:p w14:paraId="19DE8D68" w14:textId="77777777" w:rsidR="00776376" w:rsidRPr="008317A4" w:rsidRDefault="00776376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6645" w14:textId="77777777" w:rsidR="00293F41" w:rsidRDefault="00293F41" w:rsidP="00A24449">
      <w:r>
        <w:separator/>
      </w:r>
    </w:p>
  </w:footnote>
  <w:footnote w:type="continuationSeparator" w:id="0">
    <w:p w14:paraId="5FD9FF0A" w14:textId="77777777" w:rsidR="00293F41" w:rsidRDefault="00293F41" w:rsidP="00A24449">
      <w:r>
        <w:continuationSeparator/>
      </w:r>
    </w:p>
  </w:footnote>
  <w:footnote w:id="1">
    <w:p w14:paraId="1B0A4DFD" w14:textId="77777777" w:rsidR="00A035DD" w:rsidRPr="005D12DF" w:rsidRDefault="00A035DD" w:rsidP="00A035DD">
      <w:pPr>
        <w:pStyle w:val="Textocomentario"/>
      </w:pPr>
      <w:r>
        <w:rPr>
          <w:rStyle w:val="Refdenotaalpie"/>
          <w:rFonts w:cs="Arial"/>
        </w:rPr>
        <w:footnoteRef/>
      </w:r>
      <w:r>
        <w:t xml:space="preserve"> Véase </w:t>
      </w:r>
      <w:hyperlink r:id="rId1" w:history="1">
        <w:r>
          <w:rPr>
            <w:rStyle w:val="Hipervnculo"/>
          </w:rPr>
          <w:t>https://www.icann.org/en/system/files/correspondence/crocker-to-nomcom-09mar17-en.pdf</w:t>
        </w:r>
      </w:hyperlink>
    </w:p>
    <w:p w14:paraId="755E9688" w14:textId="77777777" w:rsidR="00A035DD" w:rsidRDefault="00A035DD" w:rsidP="00A035DD">
      <w:pPr>
        <w:pStyle w:val="Textocomentario"/>
      </w:pPr>
      <w:r>
        <w:t>.</w:t>
      </w:r>
    </w:p>
    <w:p w14:paraId="48C1E561" w14:textId="77777777" w:rsidR="00A035DD" w:rsidRDefault="00A035DD" w:rsidP="00A035DD">
      <w:pPr>
        <w:pStyle w:val="Textocomentario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5D40D9DA" w:rsidR="00776376" w:rsidRDefault="008317A4" w:rsidP="002276FD">
    <w:pPr>
      <w:pStyle w:val="Encabezado"/>
      <w:tabs>
        <w:tab w:val="clear" w:pos="4680"/>
        <w:tab w:val="clear" w:pos="9360"/>
      </w:tabs>
      <w:ind w:left="7920" w:right="-306" w:firstLine="444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6FE53A33">
              <wp:simplePos x="0" y="0"/>
              <wp:positionH relativeFrom="column">
                <wp:posOffset>4269740</wp:posOffset>
              </wp:positionH>
              <wp:positionV relativeFrom="paragraph">
                <wp:posOffset>217170</wp:posOffset>
              </wp:positionV>
              <wp:extent cx="1602740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6.2pt;margin-top:17.1pt;width:126.2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NA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Gq5cpPmyABMFW14uV9k8XkGq02ljnX/LdYfCpMYWKh/R&#10;yeHe+cCGVCeXyF5LwTZCyriwu+2ttOhAQCWb+B3R3dRNquCsdDg2Io47QBLuCLZAN1b9e5nlRXqT&#10;l7PNYrWcFZtiPiuX6WqWZuVNuUiLsrjbPAeCWVG1gjGu7oXiJwVmxd9V+NgLo3aiBlFf43Kez8cS&#10;Tdm7aZBp/P4UZCc8NKQUXY1XZydShcK+UQzCJpUnQo7z5Gf6McuQg9M/ZiXKIFR+1IAftgOgBG1s&#10;NXsCQVgN9YLSwisCk1bbbxj10JE1dl/3xHKM5DsFoiqzIijAx0UxX+awsFPLdmohigJUjT1G4/TW&#10;j22/N1bsWrhplLHS1yDERkSNvLA6yhe6LgZzfCFCW0/X0evlHVv/AAAA//8DAFBLAwQUAAYACAAA&#10;ACEAwFSXpt4AAAAJAQAADwAAAGRycy9kb3ducmV2LnhtbEyP0U6DQBBF3038h82Y+GLsAiK0yNKo&#10;iaavrf2AhZ0CkZ0l7LbQv3d80sfJnNx7brld7CAuOPnekYJ4FYFAapzpqVVw/Pp4XIPwQZPRgyNU&#10;cEUP2+r2ptSFcTPt8XIIreAQ8oVW0IUwFlL6pkOr/cqNSPw7ucnqwOfUSjPpmcPtIJMoyqTVPXFD&#10;p0d877D5PpytgtNufnjezPVnOOb7NHvTfV67q1L3d8vrC4iAS/iD4Vef1aFip9qdyXgxKMjyJGVU&#10;wVOagGBgk6S8pVawjmOQVSn/L6h+AAAA//8DAFBLAQItABQABgAIAAAAIQC2gziS/gAAAOEBAAAT&#10;AAAAAAAAAAAAAAAAAAAAAABbQ29udGVudF9UeXBlc10ueG1sUEsBAi0AFAAGAAgAAAAhADj9If/W&#10;AAAAlAEAAAsAAAAAAAAAAAAAAAAALwEAAF9yZWxzLy5yZWxzUEsBAi0AFAAGAAgAAAAhANgso0CB&#10;AgAADwUAAA4AAAAAAAAAAAAAAAAALgIAAGRycy9lMm9Eb2MueG1sUEsBAi0AFAAGAAgAAAAhAMBU&#10;l6beAAAACQEAAA8AAAAAAAAAAAAAAAAA2wQAAGRycy9kb3ducmV2LnhtbFBLBQYAAAAABAAEAPMA&#10;AADmBQAAAAA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es-AR" w:eastAsia="es-AR"/>
      </w:rPr>
      <w:drawing>
        <wp:inline distT="0" distB="0" distL="0" distR="0" wp14:anchorId="2EFA62C4" wp14:editId="1BF259AA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776376" w:rsidRDefault="00776376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17DDB"/>
    <w:rsid w:val="00023512"/>
    <w:rsid w:val="0002714F"/>
    <w:rsid w:val="000328A2"/>
    <w:rsid w:val="00061B16"/>
    <w:rsid w:val="00083BC8"/>
    <w:rsid w:val="000964B7"/>
    <w:rsid w:val="000966BB"/>
    <w:rsid w:val="000B4BF2"/>
    <w:rsid w:val="000C0FD7"/>
    <w:rsid w:val="000C5167"/>
    <w:rsid w:val="000C6B2E"/>
    <w:rsid w:val="00130A75"/>
    <w:rsid w:val="001577F4"/>
    <w:rsid w:val="0016195D"/>
    <w:rsid w:val="001B337F"/>
    <w:rsid w:val="0020769E"/>
    <w:rsid w:val="002110FA"/>
    <w:rsid w:val="002276FD"/>
    <w:rsid w:val="00250279"/>
    <w:rsid w:val="0025104A"/>
    <w:rsid w:val="00262ACB"/>
    <w:rsid w:val="00273354"/>
    <w:rsid w:val="00293F41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82610"/>
    <w:rsid w:val="004837E2"/>
    <w:rsid w:val="00492E56"/>
    <w:rsid w:val="004A58B8"/>
    <w:rsid w:val="004D747F"/>
    <w:rsid w:val="004E22C7"/>
    <w:rsid w:val="004E2498"/>
    <w:rsid w:val="004E28DA"/>
    <w:rsid w:val="0051347B"/>
    <w:rsid w:val="00546686"/>
    <w:rsid w:val="00577F86"/>
    <w:rsid w:val="00580A87"/>
    <w:rsid w:val="005B7B51"/>
    <w:rsid w:val="005E2917"/>
    <w:rsid w:val="00624AEC"/>
    <w:rsid w:val="00652018"/>
    <w:rsid w:val="006735F6"/>
    <w:rsid w:val="0067792E"/>
    <w:rsid w:val="00683C6C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F5CD3"/>
    <w:rsid w:val="00815A76"/>
    <w:rsid w:val="00817EAC"/>
    <w:rsid w:val="008246F4"/>
    <w:rsid w:val="008317A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55A9E"/>
    <w:rsid w:val="00974BD6"/>
    <w:rsid w:val="0099631A"/>
    <w:rsid w:val="009C77A8"/>
    <w:rsid w:val="00A035DD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C3A47"/>
    <w:rsid w:val="00BE3286"/>
    <w:rsid w:val="00BE60A1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F0C5D"/>
    <w:rsid w:val="00DF5B00"/>
    <w:rsid w:val="00E016F8"/>
    <w:rsid w:val="00E15459"/>
    <w:rsid w:val="00E236BC"/>
    <w:rsid w:val="00E248DA"/>
    <w:rsid w:val="00E3060B"/>
    <w:rsid w:val="00E42F1B"/>
    <w:rsid w:val="00E57BDD"/>
    <w:rsid w:val="00E7196B"/>
    <w:rsid w:val="00E9134A"/>
    <w:rsid w:val="00EA3A02"/>
    <w:rsid w:val="00EC3C37"/>
    <w:rsid w:val="00EE2665"/>
    <w:rsid w:val="00F2150E"/>
    <w:rsid w:val="00F21D6A"/>
    <w:rsid w:val="00F42A85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5459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99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rsid w:val="00302AA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rsid w:val="00A035DD"/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5DD"/>
    <w:rPr>
      <w:rFonts w:ascii="Calibri" w:eastAsia="Times New Roman" w:hAnsi="Calibri" w:cs="Calibri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5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5459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Prrafodelista">
    <w:name w:val="List Paragraph"/>
    <w:basedOn w:val="Normal"/>
    <w:uiPriority w:val="99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rsid w:val="00302AA4"/>
    <w:rPr>
      <w:color w:val="808080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rsid w:val="00A035DD"/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5DD"/>
    <w:rPr>
      <w:rFonts w:ascii="Calibri" w:eastAsia="Times New Roman" w:hAnsi="Calibri" w:cs="Calibri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cann.org/display/O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cann.org/nomcom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c.icann.org/working-group/gac-working-group-on-gac-participation-in-nomcom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en/system/files/correspondence/crocker-to-nomcom-09mar17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74D8-837B-415A-8760-C0936B11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3901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4</cp:revision>
  <cp:lastPrinted>2013-11-27T05:14:00Z</cp:lastPrinted>
  <dcterms:created xsi:type="dcterms:W3CDTF">2018-06-07T03:22:00Z</dcterms:created>
  <dcterms:modified xsi:type="dcterms:W3CDTF">2018-06-19T23:31:00Z</dcterms:modified>
</cp:coreProperties>
</file>